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C70DED" w:rsidTr="00C70DED">
        <w:tc>
          <w:tcPr>
            <w:tcW w:w="9629" w:type="dxa"/>
          </w:tcPr>
          <w:p w:rsidR="00C70DED" w:rsidRPr="00C70DED" w:rsidRDefault="00C70DED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</w:rPr>
              <w:t xml:space="preserve">Круглий стіл на тему «Про стратегію розвитку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водоканальної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галузі та водних ресурсів Дніпропетровщини» у м. Дніпрі,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просп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О.Поля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2д, о 11.00 год.</w:t>
            </w:r>
          </w:p>
        </w:tc>
      </w:tr>
      <w:bookmarkEnd w:id="0"/>
    </w:tbl>
    <w:p w:rsidR="00A833A9" w:rsidRPr="00C70DED" w:rsidRDefault="00A833A9"/>
    <w:sectPr w:rsidR="00A833A9" w:rsidRPr="00C70D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ED"/>
    <w:rsid w:val="00A833A9"/>
    <w:rsid w:val="00C7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4904F"/>
  <w15:chartTrackingRefBased/>
  <w15:docId w15:val="{23026321-AE9A-4498-8BF0-76A4B05C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2019-03-18T14:07:00Z</dcterms:created>
  <dcterms:modified xsi:type="dcterms:W3CDTF">2019-03-18T14:09:00Z</dcterms:modified>
</cp:coreProperties>
</file>